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E9DEB" w14:textId="02134E87"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F64DD6">
        <w:rPr>
          <w:rFonts w:ascii="Trebuchet MS" w:eastAsia="Times New Roman" w:hAnsi="Trebuchet MS" w:cs="Times New Roman"/>
          <w:b/>
          <w:sz w:val="20"/>
          <w:szCs w:val="20"/>
        </w:rPr>
        <w:t>C</w:t>
      </w:r>
      <w:r w:rsidRPr="00E66F90">
        <w:rPr>
          <w:rFonts w:ascii="Trebuchet MS" w:eastAsia="Times New Roman" w:hAnsi="Trebuchet MS" w:cs="Times New Roman"/>
          <w:b/>
          <w:sz w:val="20"/>
          <w:szCs w:val="20"/>
        </w:rPr>
        <w:t xml:space="preserve">omplete the following problems from Chapter </w:t>
      </w:r>
      <w:r w:rsidR="00E71A51">
        <w:rPr>
          <w:rFonts w:ascii="Trebuchet MS" w:eastAsia="Times New Roman" w:hAnsi="Trebuchet MS" w:cs="Times New Roman"/>
          <w:b/>
          <w:sz w:val="20"/>
          <w:szCs w:val="20"/>
        </w:rPr>
        <w:t>4</w:t>
      </w:r>
      <w:r w:rsidRPr="00E66F90">
        <w:rPr>
          <w:rFonts w:ascii="Trebuchet MS" w:eastAsia="Times New Roman" w:hAnsi="Trebuchet MS" w:cs="Times New Roman"/>
          <w:b/>
          <w:sz w:val="20"/>
          <w:szCs w:val="20"/>
        </w:rPr>
        <w:t>:</w:t>
      </w:r>
    </w:p>
    <w:p w14:paraId="38914EE5" w14:textId="77777777" w:rsidR="006C175E" w:rsidRPr="006C175E" w:rsidRDefault="006C175E" w:rsidP="006C175E">
      <w:pPr>
        <w:numPr>
          <w:ilvl w:val="0"/>
          <w:numId w:val="9"/>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C175E">
        <w:rPr>
          <w:rFonts w:ascii="Trebuchet MS" w:eastAsia="Times New Roman" w:hAnsi="Trebuchet MS" w:cs="Times New Roman"/>
          <w:color w:val="555555"/>
          <w:sz w:val="20"/>
          <w:szCs w:val="20"/>
        </w:rPr>
        <w:t>P6-5</w:t>
      </w:r>
    </w:p>
    <w:p w14:paraId="398C8108" w14:textId="77777777" w:rsidR="006C175E" w:rsidRPr="006C175E" w:rsidRDefault="006C175E" w:rsidP="006C175E">
      <w:pPr>
        <w:numPr>
          <w:ilvl w:val="0"/>
          <w:numId w:val="9"/>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C175E">
        <w:rPr>
          <w:rFonts w:ascii="Trebuchet MS" w:eastAsia="Times New Roman" w:hAnsi="Trebuchet MS" w:cs="Times New Roman"/>
          <w:color w:val="555555"/>
          <w:sz w:val="20"/>
          <w:szCs w:val="20"/>
        </w:rPr>
        <w:t>P6-11</w:t>
      </w:r>
    </w:p>
    <w:p w14:paraId="5E3EE194" w14:textId="77777777" w:rsidR="006C175E" w:rsidRPr="006C175E" w:rsidRDefault="006C175E" w:rsidP="006C175E">
      <w:pPr>
        <w:numPr>
          <w:ilvl w:val="0"/>
          <w:numId w:val="9"/>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C175E">
        <w:rPr>
          <w:rFonts w:ascii="Trebuchet MS" w:eastAsia="Times New Roman" w:hAnsi="Trebuchet MS" w:cs="Times New Roman"/>
          <w:color w:val="555555"/>
          <w:sz w:val="20"/>
          <w:szCs w:val="20"/>
        </w:rPr>
        <w:t>P6-17</w:t>
      </w:r>
    </w:p>
    <w:p w14:paraId="2D60C428" w14:textId="77777777" w:rsidR="006C175E" w:rsidRPr="006C175E" w:rsidRDefault="006C175E" w:rsidP="006C175E">
      <w:pPr>
        <w:numPr>
          <w:ilvl w:val="0"/>
          <w:numId w:val="9"/>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C175E">
        <w:rPr>
          <w:rFonts w:ascii="Trebuchet MS" w:eastAsia="Times New Roman" w:hAnsi="Trebuchet MS" w:cs="Times New Roman"/>
          <w:color w:val="555555"/>
          <w:sz w:val="20"/>
          <w:szCs w:val="20"/>
        </w:rPr>
        <w:t>P6-18</w:t>
      </w:r>
    </w:p>
    <w:p w14:paraId="745200C1" w14:textId="77777777" w:rsidR="006C175E" w:rsidRPr="006C175E" w:rsidRDefault="006C175E" w:rsidP="006C175E">
      <w:pPr>
        <w:numPr>
          <w:ilvl w:val="0"/>
          <w:numId w:val="9"/>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C175E">
        <w:rPr>
          <w:rFonts w:ascii="Trebuchet MS" w:eastAsia="Times New Roman" w:hAnsi="Trebuchet MS" w:cs="Times New Roman"/>
          <w:color w:val="555555"/>
          <w:sz w:val="20"/>
          <w:szCs w:val="20"/>
        </w:rPr>
        <w:t>P6-22</w:t>
      </w:r>
    </w:p>
    <w:p w14:paraId="7A9F90E7" w14:textId="77777777"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E66F90">
        <w:rPr>
          <w:rFonts w:ascii="Trebuchet MS" w:eastAsia="Times New Roman" w:hAnsi="Trebuchet MS" w:cs="Times New Roman"/>
          <w:b/>
          <w:sz w:val="20"/>
          <w:szCs w:val="20"/>
        </w:rPr>
        <w:t>Follow these instructions for completing and submitting your assignment:</w:t>
      </w:r>
    </w:p>
    <w:p w14:paraId="5686D9AA" w14:textId="32157C84" w:rsidR="00E66F90" w:rsidRPr="00E66F90" w:rsidRDefault="00F64DD6"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F64DD6">
        <w:rPr>
          <w:rFonts w:ascii="Trebuchet MS" w:eastAsia="Times New Roman" w:hAnsi="Trebuchet MS" w:cs="Times New Roman"/>
          <w:sz w:val="20"/>
          <w:szCs w:val="20"/>
          <w:highlight w:val="green"/>
        </w:rPr>
        <w:t>Please d</w:t>
      </w:r>
      <w:r w:rsidR="00E66F90" w:rsidRPr="00E66F90">
        <w:rPr>
          <w:rFonts w:ascii="Trebuchet MS" w:eastAsia="Times New Roman" w:hAnsi="Trebuchet MS" w:cs="Times New Roman"/>
          <w:sz w:val="20"/>
          <w:szCs w:val="20"/>
          <w:highlight w:val="green"/>
        </w:rPr>
        <w:t>o all work in Excel</w:t>
      </w:r>
      <w:r w:rsidR="00E66F90" w:rsidRPr="00E66F90">
        <w:rPr>
          <w:rFonts w:ascii="Trebuchet MS" w:eastAsia="Times New Roman" w:hAnsi="Trebuchet MS" w:cs="Times New Roman"/>
          <w:sz w:val="20"/>
          <w:szCs w:val="20"/>
        </w:rPr>
        <w:t>. Do not submit Word files or *.pdf files.</w:t>
      </w:r>
    </w:p>
    <w:p w14:paraId="0E593BC8"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Submit a single spreadsheet file for this assignment. Do not submit multiple files.</w:t>
      </w:r>
    </w:p>
    <w:p w14:paraId="10572626"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Place each problem on a separate spreadsheet tab.</w:t>
      </w:r>
    </w:p>
    <w:p w14:paraId="7A5F4602"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Label all inputs and outputs and highlight your final answer.</w:t>
      </w:r>
    </w:p>
    <w:p w14:paraId="340DC27F" w14:textId="326BA50E" w:rsidR="00E66F90" w:rsidRPr="00F64DD6"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Follow the directions in “Guidelines for Developing Spreadsheets.”</w:t>
      </w:r>
    </w:p>
    <w:p w14:paraId="66A7D9CF" w14:textId="505BBE3A"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6A3698C0" w14:textId="77777777" w:rsidR="00E66F90" w:rsidRDefault="00E66F90" w:rsidP="00E66F90">
      <w:pPr>
        <w:keepNext/>
        <w:keepLines/>
        <w:spacing w:after="0"/>
        <w:outlineLvl w:val="1"/>
        <w:rPr>
          <w:rFonts w:ascii="Calibri" w:eastAsia="Times New Roman" w:hAnsi="Calibri"/>
          <w:b/>
          <w:bCs/>
          <w:sz w:val="28"/>
          <w:szCs w:val="28"/>
        </w:rPr>
      </w:pPr>
      <w:r>
        <w:rPr>
          <w:rFonts w:ascii="Calibri" w:eastAsia="Times New Roman" w:hAnsi="Calibri"/>
          <w:b/>
          <w:bCs/>
          <w:sz w:val="28"/>
          <w:szCs w:val="28"/>
        </w:rPr>
        <w:t>Guidelines for Developing Spreadsheets</w:t>
      </w:r>
    </w:p>
    <w:p w14:paraId="4B8EDC4F" w14:textId="77777777" w:rsidR="00E66F90" w:rsidRDefault="00E66F90" w:rsidP="00E66F90">
      <w:pPr>
        <w:spacing w:after="0"/>
        <w:rPr>
          <w:rFonts w:ascii="Calibri" w:eastAsia="Calibri" w:hAnsi="Calibri"/>
          <w:sz w:val="20"/>
          <w:szCs w:val="20"/>
        </w:rPr>
      </w:pPr>
    </w:p>
    <w:p w14:paraId="42A6A561" w14:textId="196D9CBA" w:rsidR="00E66F90" w:rsidRDefault="00E66F90" w:rsidP="00E66F90">
      <w:pPr>
        <w:spacing w:after="0"/>
        <w:rPr>
          <w:rFonts w:ascii="Calibri" w:hAnsi="Calibri"/>
          <w:sz w:val="20"/>
          <w:szCs w:val="20"/>
        </w:rPr>
      </w:pPr>
      <w:r>
        <w:rPr>
          <w:rFonts w:ascii="Calibri" w:hAnsi="Calibri"/>
          <w:sz w:val="20"/>
          <w:szCs w:val="20"/>
        </w:rPr>
        <w:t>It is important to develop spreadsheets that are clear, well-organized, and easy to read. Here are some tips that you will need to assist with your assignments</w:t>
      </w:r>
      <w:r w:rsidR="00A66992">
        <w:rPr>
          <w:rFonts w:ascii="Calibri" w:hAnsi="Calibri"/>
          <w:sz w:val="20"/>
          <w:szCs w:val="20"/>
        </w:rPr>
        <w:t>.</w:t>
      </w:r>
    </w:p>
    <w:p w14:paraId="0E235C8C" w14:textId="77777777" w:rsidR="00E66F90" w:rsidRDefault="00E66F90" w:rsidP="00E66F90">
      <w:pPr>
        <w:spacing w:after="0"/>
        <w:rPr>
          <w:rFonts w:ascii="Calibri" w:hAnsi="Calibri"/>
          <w:sz w:val="20"/>
          <w:szCs w:val="20"/>
        </w:rPr>
      </w:pPr>
    </w:p>
    <w:p w14:paraId="7DA22652"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Your spreadsheet should be organized into three basic parts. Clearly label each part.</w:t>
      </w:r>
    </w:p>
    <w:p w14:paraId="50A51239"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 xml:space="preserve">A title, labeling what your spreadsheet does. The title for your spreadsheets in this course can be the problem number that you are assigned. Place this in the upper left corner, in cell A1. </w:t>
      </w:r>
    </w:p>
    <w:p w14:paraId="67B8E70D"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Inputs, which are given or assumed.</w:t>
      </w:r>
    </w:p>
    <w:p w14:paraId="3B84CF77"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Results (Outputs) which the spreadsheet calculates.</w:t>
      </w:r>
    </w:p>
    <w:p w14:paraId="7117D7BA"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Provide specific labels for all inputs and outputs. Label both the variable names and the notation for the variables. Where a formula is involved, it is a good idea (but not necessary) to enter the formula to the right of the cell containing the results. I display these formulas in italics, so that they are not confused with the variable labels.</w:t>
      </w:r>
    </w:p>
    <w:p w14:paraId="3ABBF00F"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Highlight the cell containing the final answer, using EXCEL’s yellow highlighter, which can be found on the top menu bar.</w:t>
      </w:r>
    </w:p>
    <w:p w14:paraId="56F54218"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 xml:space="preserve">If your spreadsheet uses a long formula, you might find it advisable to break the formula into component parts. This serves to minimize the typos that can occur when entering long formulas, as well as makes locating errors in the results easier to find. Nested parentheses are a particular problem in long </w:t>
      </w:r>
      <w:proofErr w:type="gramStart"/>
      <w:r>
        <w:rPr>
          <w:rFonts w:ascii="Calibri" w:hAnsi="Calibri"/>
          <w:sz w:val="20"/>
          <w:szCs w:val="20"/>
        </w:rPr>
        <w:t>formulas, and</w:t>
      </w:r>
      <w:proofErr w:type="gramEnd"/>
      <w:r>
        <w:rPr>
          <w:rFonts w:ascii="Calibri" w:hAnsi="Calibri"/>
          <w:sz w:val="20"/>
          <w:szCs w:val="20"/>
        </w:rPr>
        <w:t xml:space="preserve"> breaking up the calculations into component parts minimizes the need for nested parentheses also. In the example below, the calculations are broken into two steps; (1) the percentage changes in price and quantity demanded, and (2) the final elasticity calculation using these intermediate results.</w:t>
      </w:r>
    </w:p>
    <w:p w14:paraId="19F579F9"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Don’t forget to place each homework problem on a separate spreadsheet tab. Label these tabs with the problem number for easy identification.</w:t>
      </w:r>
    </w:p>
    <w:p w14:paraId="79550478" w14:textId="77777777" w:rsidR="00E66F90" w:rsidRDefault="00E66F90" w:rsidP="00E66F90">
      <w:pPr>
        <w:spacing w:after="0"/>
        <w:ind w:left="720"/>
        <w:contextualSpacing/>
        <w:rPr>
          <w:rFonts w:ascii="Calibri" w:hAnsi="Calibri"/>
          <w:sz w:val="20"/>
          <w:szCs w:val="20"/>
        </w:rPr>
      </w:pPr>
    </w:p>
    <w:p w14:paraId="4D996694" w14:textId="77777777" w:rsidR="00E66F90" w:rsidRDefault="00E66F90" w:rsidP="00E66F90">
      <w:pPr>
        <w:spacing w:after="0"/>
        <w:ind w:left="360"/>
        <w:rPr>
          <w:rFonts w:ascii="Calibri" w:hAnsi="Calibri"/>
          <w:sz w:val="20"/>
          <w:szCs w:val="20"/>
        </w:rPr>
      </w:pPr>
      <w:r>
        <w:rPr>
          <w:rFonts w:ascii="Calibri" w:hAnsi="Calibri"/>
          <w:sz w:val="20"/>
          <w:szCs w:val="20"/>
        </w:rPr>
        <w:t>A sample spreadsheet reflecting these points is below.</w:t>
      </w:r>
    </w:p>
    <w:p w14:paraId="110126B1" w14:textId="77777777" w:rsidR="00E66F90" w:rsidRDefault="00E66F90" w:rsidP="00E66F90">
      <w:pPr>
        <w:spacing w:after="0"/>
        <w:ind w:left="360"/>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1418"/>
        <w:gridCol w:w="777"/>
        <w:gridCol w:w="960"/>
      </w:tblGrid>
      <w:tr w:rsidR="00E66F90" w14:paraId="5AEECA0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74360F7E" w14:textId="77777777" w:rsidR="00E66F90" w:rsidRDefault="00E66F90">
            <w:pPr>
              <w:spacing w:after="0" w:line="276" w:lineRule="auto"/>
              <w:ind w:left="360"/>
              <w:rPr>
                <w:rFonts w:ascii="Calibri" w:hAnsi="Calibri"/>
                <w:b/>
                <w:bCs/>
                <w:sz w:val="20"/>
                <w:szCs w:val="20"/>
              </w:rPr>
            </w:pPr>
            <w:r>
              <w:rPr>
                <w:rFonts w:ascii="Calibri" w:hAnsi="Calibri"/>
                <w:b/>
                <w:bCs/>
                <w:sz w:val="20"/>
                <w:szCs w:val="20"/>
              </w:rPr>
              <w:t>Calculating 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58FD41A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06CC2DF0"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0AFF3E" w14:textId="77777777" w:rsidR="00E66F90" w:rsidRDefault="00E66F90">
            <w:pPr>
              <w:spacing w:after="0" w:line="276" w:lineRule="auto"/>
              <w:rPr>
                <w:sz w:val="20"/>
                <w:szCs w:val="20"/>
              </w:rPr>
            </w:pPr>
          </w:p>
        </w:tc>
      </w:tr>
      <w:tr w:rsidR="00E66F90" w14:paraId="336A3ABC"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15CA87CE"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15C8A1F6"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4CFA0FB7"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039C5E9" w14:textId="77777777" w:rsidR="00E66F90" w:rsidRDefault="00E66F90">
            <w:pPr>
              <w:spacing w:after="0" w:line="276" w:lineRule="auto"/>
              <w:rPr>
                <w:sz w:val="20"/>
                <w:szCs w:val="20"/>
              </w:rPr>
            </w:pPr>
          </w:p>
        </w:tc>
      </w:tr>
      <w:tr w:rsidR="00E66F90" w14:paraId="2D40DB34"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D5C15E4"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Inputs:</w:t>
            </w:r>
          </w:p>
        </w:tc>
        <w:tc>
          <w:tcPr>
            <w:tcW w:w="1418" w:type="dxa"/>
            <w:tcBorders>
              <w:top w:val="single" w:sz="4" w:space="0" w:color="auto"/>
              <w:left w:val="single" w:sz="4" w:space="0" w:color="auto"/>
              <w:bottom w:val="single" w:sz="4" w:space="0" w:color="auto"/>
              <w:right w:val="single" w:sz="4" w:space="0" w:color="auto"/>
            </w:tcBorders>
            <w:noWrap/>
            <w:hideMark/>
          </w:tcPr>
          <w:p w14:paraId="20C08C4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15D1EEA3"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1BCA634" w14:textId="77777777" w:rsidR="00E66F90" w:rsidRDefault="00E66F90">
            <w:pPr>
              <w:spacing w:after="0" w:line="276" w:lineRule="auto"/>
              <w:rPr>
                <w:sz w:val="20"/>
                <w:szCs w:val="20"/>
              </w:rPr>
            </w:pPr>
          </w:p>
        </w:tc>
      </w:tr>
      <w:tr w:rsidR="00E66F90" w14:paraId="1D69EF8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262A37"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lastRenderedPageBreak/>
              <w:t>Original Price (P1)</w:t>
            </w:r>
          </w:p>
        </w:tc>
        <w:tc>
          <w:tcPr>
            <w:tcW w:w="1418" w:type="dxa"/>
            <w:tcBorders>
              <w:top w:val="single" w:sz="4" w:space="0" w:color="auto"/>
              <w:left w:val="single" w:sz="4" w:space="0" w:color="auto"/>
              <w:bottom w:val="single" w:sz="4" w:space="0" w:color="auto"/>
              <w:right w:val="single" w:sz="4" w:space="0" w:color="auto"/>
            </w:tcBorders>
            <w:noWrap/>
            <w:hideMark/>
          </w:tcPr>
          <w:p w14:paraId="4F2E4F07"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$10.00 </w:t>
            </w:r>
          </w:p>
        </w:tc>
        <w:tc>
          <w:tcPr>
            <w:tcW w:w="777" w:type="dxa"/>
            <w:tcBorders>
              <w:top w:val="single" w:sz="4" w:space="0" w:color="auto"/>
              <w:left w:val="single" w:sz="4" w:space="0" w:color="auto"/>
              <w:bottom w:val="single" w:sz="4" w:space="0" w:color="auto"/>
              <w:right w:val="single" w:sz="4" w:space="0" w:color="auto"/>
            </w:tcBorders>
            <w:noWrap/>
            <w:hideMark/>
          </w:tcPr>
          <w:p w14:paraId="3E9AB196"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4F9B8C80" w14:textId="77777777" w:rsidR="00E66F90" w:rsidRDefault="00E66F90">
            <w:pPr>
              <w:spacing w:after="0" w:line="276" w:lineRule="auto"/>
              <w:rPr>
                <w:sz w:val="20"/>
                <w:szCs w:val="20"/>
              </w:rPr>
            </w:pPr>
          </w:p>
        </w:tc>
      </w:tr>
      <w:tr w:rsidR="00E66F90" w14:paraId="49BB2E9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415FC03"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Price (P2)</w:t>
            </w:r>
          </w:p>
        </w:tc>
        <w:tc>
          <w:tcPr>
            <w:tcW w:w="1418" w:type="dxa"/>
            <w:tcBorders>
              <w:top w:val="single" w:sz="4" w:space="0" w:color="auto"/>
              <w:left w:val="single" w:sz="4" w:space="0" w:color="auto"/>
              <w:bottom w:val="single" w:sz="4" w:space="0" w:color="auto"/>
              <w:right w:val="single" w:sz="4" w:space="0" w:color="auto"/>
            </w:tcBorders>
            <w:noWrap/>
            <w:hideMark/>
          </w:tcPr>
          <w:p w14:paraId="5A71B1E4"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$12.00 </w:t>
            </w:r>
          </w:p>
        </w:tc>
        <w:tc>
          <w:tcPr>
            <w:tcW w:w="777" w:type="dxa"/>
            <w:tcBorders>
              <w:top w:val="single" w:sz="4" w:space="0" w:color="auto"/>
              <w:left w:val="single" w:sz="4" w:space="0" w:color="auto"/>
              <w:bottom w:val="single" w:sz="4" w:space="0" w:color="auto"/>
              <w:right w:val="single" w:sz="4" w:space="0" w:color="auto"/>
            </w:tcBorders>
            <w:noWrap/>
            <w:hideMark/>
          </w:tcPr>
          <w:p w14:paraId="56C25783"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78A414B4" w14:textId="77777777" w:rsidR="00E66F90" w:rsidRDefault="00E66F90">
            <w:pPr>
              <w:spacing w:after="0" w:line="276" w:lineRule="auto"/>
              <w:rPr>
                <w:sz w:val="20"/>
                <w:szCs w:val="20"/>
              </w:rPr>
            </w:pPr>
          </w:p>
        </w:tc>
      </w:tr>
      <w:tr w:rsidR="00E66F90" w14:paraId="0CFC2CC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F7DBD5"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Quantity Sold (Q1)</w:t>
            </w:r>
          </w:p>
        </w:tc>
        <w:tc>
          <w:tcPr>
            <w:tcW w:w="1418" w:type="dxa"/>
            <w:tcBorders>
              <w:top w:val="single" w:sz="4" w:space="0" w:color="auto"/>
              <w:left w:val="single" w:sz="4" w:space="0" w:color="auto"/>
              <w:bottom w:val="single" w:sz="4" w:space="0" w:color="auto"/>
              <w:right w:val="single" w:sz="4" w:space="0" w:color="auto"/>
            </w:tcBorders>
            <w:noWrap/>
            <w:hideMark/>
          </w:tcPr>
          <w:p w14:paraId="3BB946F5" w14:textId="77777777" w:rsidR="00E66F90" w:rsidRDefault="00E66F90">
            <w:pPr>
              <w:spacing w:after="0" w:line="276" w:lineRule="auto"/>
              <w:ind w:left="360"/>
              <w:jc w:val="both"/>
              <w:rPr>
                <w:rFonts w:ascii="Calibri" w:hAnsi="Calibri"/>
                <w:sz w:val="20"/>
                <w:szCs w:val="20"/>
              </w:rPr>
            </w:pPr>
            <w:r>
              <w:rPr>
                <w:rFonts w:ascii="Calibri" w:hAnsi="Calibri"/>
                <w:sz w:val="20"/>
                <w:szCs w:val="20"/>
              </w:rPr>
              <w:t>950</w:t>
            </w:r>
          </w:p>
        </w:tc>
        <w:tc>
          <w:tcPr>
            <w:tcW w:w="777" w:type="dxa"/>
            <w:tcBorders>
              <w:top w:val="single" w:sz="4" w:space="0" w:color="auto"/>
              <w:left w:val="single" w:sz="4" w:space="0" w:color="auto"/>
              <w:bottom w:val="single" w:sz="4" w:space="0" w:color="auto"/>
              <w:right w:val="single" w:sz="4" w:space="0" w:color="auto"/>
            </w:tcBorders>
            <w:noWrap/>
            <w:hideMark/>
          </w:tcPr>
          <w:p w14:paraId="4DE3F0E8"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C9DCE32" w14:textId="77777777" w:rsidR="00E66F90" w:rsidRDefault="00E66F90">
            <w:pPr>
              <w:spacing w:after="0" w:line="276" w:lineRule="auto"/>
              <w:rPr>
                <w:sz w:val="20"/>
                <w:szCs w:val="20"/>
              </w:rPr>
            </w:pPr>
          </w:p>
        </w:tc>
      </w:tr>
      <w:tr w:rsidR="00E66F90" w14:paraId="13E5196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414FB01B"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Quantity Sold (Q2)</w:t>
            </w:r>
          </w:p>
        </w:tc>
        <w:tc>
          <w:tcPr>
            <w:tcW w:w="1418" w:type="dxa"/>
            <w:tcBorders>
              <w:top w:val="single" w:sz="4" w:space="0" w:color="auto"/>
              <w:left w:val="single" w:sz="4" w:space="0" w:color="auto"/>
              <w:bottom w:val="single" w:sz="4" w:space="0" w:color="auto"/>
              <w:right w:val="single" w:sz="4" w:space="0" w:color="auto"/>
            </w:tcBorders>
            <w:noWrap/>
            <w:hideMark/>
          </w:tcPr>
          <w:p w14:paraId="2923CA69" w14:textId="77777777" w:rsidR="00E66F90" w:rsidRDefault="00E66F90">
            <w:pPr>
              <w:spacing w:after="0" w:line="276" w:lineRule="auto"/>
              <w:ind w:left="360"/>
              <w:jc w:val="both"/>
              <w:rPr>
                <w:rFonts w:ascii="Calibri" w:hAnsi="Calibri"/>
                <w:sz w:val="20"/>
                <w:szCs w:val="20"/>
              </w:rPr>
            </w:pPr>
            <w:r>
              <w:rPr>
                <w:rFonts w:ascii="Calibri" w:hAnsi="Calibri"/>
                <w:sz w:val="20"/>
                <w:szCs w:val="20"/>
              </w:rPr>
              <w:t>900</w:t>
            </w:r>
          </w:p>
        </w:tc>
        <w:tc>
          <w:tcPr>
            <w:tcW w:w="777" w:type="dxa"/>
            <w:tcBorders>
              <w:top w:val="single" w:sz="4" w:space="0" w:color="auto"/>
              <w:left w:val="single" w:sz="4" w:space="0" w:color="auto"/>
              <w:bottom w:val="single" w:sz="4" w:space="0" w:color="auto"/>
              <w:right w:val="single" w:sz="4" w:space="0" w:color="auto"/>
            </w:tcBorders>
            <w:noWrap/>
            <w:hideMark/>
          </w:tcPr>
          <w:p w14:paraId="5D18E660"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1F4ACE9D" w14:textId="77777777" w:rsidR="00E66F90" w:rsidRDefault="00E66F90">
            <w:pPr>
              <w:spacing w:after="0" w:line="276" w:lineRule="auto"/>
              <w:rPr>
                <w:sz w:val="20"/>
                <w:szCs w:val="20"/>
              </w:rPr>
            </w:pPr>
          </w:p>
        </w:tc>
      </w:tr>
      <w:tr w:rsidR="00E66F90" w14:paraId="241F8C4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70D53DF"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355773B8"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76FF2E4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69F9B8F" w14:textId="77777777" w:rsidR="00E66F90" w:rsidRDefault="00E66F90">
            <w:pPr>
              <w:spacing w:after="0" w:line="276" w:lineRule="auto"/>
              <w:rPr>
                <w:sz w:val="20"/>
                <w:szCs w:val="20"/>
              </w:rPr>
            </w:pPr>
          </w:p>
        </w:tc>
      </w:tr>
      <w:tr w:rsidR="00E66F90" w14:paraId="30B64F1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69562728"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Results:</w:t>
            </w:r>
          </w:p>
        </w:tc>
        <w:tc>
          <w:tcPr>
            <w:tcW w:w="1418" w:type="dxa"/>
            <w:tcBorders>
              <w:top w:val="single" w:sz="4" w:space="0" w:color="auto"/>
              <w:left w:val="single" w:sz="4" w:space="0" w:color="auto"/>
              <w:bottom w:val="single" w:sz="4" w:space="0" w:color="auto"/>
              <w:right w:val="single" w:sz="4" w:space="0" w:color="auto"/>
            </w:tcBorders>
            <w:noWrap/>
            <w:hideMark/>
          </w:tcPr>
          <w:p w14:paraId="29292AC9"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2B5B212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13E7F3" w14:textId="77777777" w:rsidR="00E66F90" w:rsidRDefault="00E66F90">
            <w:pPr>
              <w:spacing w:after="0" w:line="276" w:lineRule="auto"/>
              <w:rPr>
                <w:sz w:val="20"/>
                <w:szCs w:val="20"/>
              </w:rPr>
            </w:pPr>
          </w:p>
        </w:tc>
      </w:tr>
      <w:tr w:rsidR="00E66F90" w14:paraId="030D12C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D05CC59"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 change in price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427D50BE"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   0.2000 </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5C8F5DC4"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=(p2-p1)/p1</w:t>
            </w:r>
          </w:p>
        </w:tc>
      </w:tr>
      <w:tr w:rsidR="00E66F90" w14:paraId="72337A42"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79534D5" w14:textId="77777777" w:rsidR="00E66F90" w:rsidRDefault="00E66F90">
            <w:pPr>
              <w:spacing w:after="0" w:line="276" w:lineRule="auto"/>
              <w:ind w:left="360"/>
              <w:rPr>
                <w:rFonts w:ascii="Calibri" w:hAnsi="Calibri"/>
                <w:sz w:val="20"/>
                <w:szCs w:val="20"/>
              </w:rPr>
            </w:pPr>
            <w:r>
              <w:rPr>
                <w:rFonts w:ascii="Calibri" w:hAnsi="Calibri"/>
                <w:sz w:val="20"/>
                <w:szCs w:val="20"/>
              </w:rPr>
              <w:t>% change in quantity demanded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22188422" w14:textId="77777777" w:rsidR="00E66F90" w:rsidRDefault="00E66F90">
            <w:pPr>
              <w:spacing w:after="0" w:line="276" w:lineRule="auto"/>
              <w:ind w:left="360"/>
              <w:jc w:val="both"/>
              <w:rPr>
                <w:rFonts w:ascii="Calibri" w:hAnsi="Calibri"/>
                <w:sz w:val="20"/>
                <w:szCs w:val="20"/>
              </w:rPr>
            </w:pPr>
            <w:r>
              <w:rPr>
                <w:rFonts w:ascii="Calibri" w:hAnsi="Calibri"/>
                <w:sz w:val="20"/>
                <w:szCs w:val="20"/>
              </w:rPr>
              <w:t>-0.05263</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2191D209"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=(q2-q1)/q1</w:t>
            </w:r>
          </w:p>
        </w:tc>
      </w:tr>
      <w:tr w:rsidR="00E66F90" w14:paraId="4CC1697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3BE631C2" w14:textId="77777777" w:rsidR="00E66F90" w:rsidRDefault="00E66F90">
            <w:pPr>
              <w:spacing w:after="0" w:line="276" w:lineRule="auto"/>
              <w:ind w:left="360"/>
              <w:rPr>
                <w:rFonts w:ascii="Calibri" w:hAnsi="Calibri"/>
                <w:sz w:val="20"/>
                <w:szCs w:val="20"/>
              </w:rPr>
            </w:pPr>
            <w:r>
              <w:rPr>
                <w:rFonts w:ascii="Calibri" w:hAnsi="Calibri"/>
                <w:sz w:val="20"/>
                <w:szCs w:val="20"/>
              </w:rPr>
              <w:t>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090FBC04" w14:textId="77777777" w:rsidR="00E66F90" w:rsidRDefault="00E66F90">
            <w:pPr>
              <w:spacing w:after="0" w:line="276" w:lineRule="auto"/>
              <w:ind w:left="360"/>
              <w:jc w:val="both"/>
              <w:rPr>
                <w:rFonts w:ascii="Calibri" w:hAnsi="Calibri"/>
                <w:sz w:val="20"/>
                <w:szCs w:val="20"/>
              </w:rPr>
            </w:pPr>
            <w:r>
              <w:rPr>
                <w:rFonts w:ascii="Calibri" w:hAnsi="Calibri"/>
                <w:sz w:val="20"/>
                <w:szCs w:val="20"/>
                <w:highlight w:val="yellow"/>
              </w:rPr>
              <w:t>-0.26316</w:t>
            </w:r>
          </w:p>
        </w:tc>
        <w:tc>
          <w:tcPr>
            <w:tcW w:w="777" w:type="dxa"/>
            <w:tcBorders>
              <w:top w:val="single" w:sz="4" w:space="0" w:color="auto"/>
              <w:left w:val="single" w:sz="4" w:space="0" w:color="auto"/>
              <w:bottom w:val="single" w:sz="4" w:space="0" w:color="auto"/>
              <w:right w:val="single" w:sz="4" w:space="0" w:color="auto"/>
            </w:tcBorders>
            <w:noWrap/>
            <w:hideMark/>
          </w:tcPr>
          <w:p w14:paraId="3BACA571"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953BE88" w14:textId="77777777" w:rsidR="00E66F90" w:rsidRDefault="00E66F90">
            <w:pPr>
              <w:spacing w:after="0" w:line="276" w:lineRule="auto"/>
              <w:rPr>
                <w:sz w:val="20"/>
                <w:szCs w:val="20"/>
              </w:rPr>
            </w:pPr>
          </w:p>
        </w:tc>
      </w:tr>
    </w:tbl>
    <w:p w14:paraId="51E05B01" w14:textId="2378C9A5" w:rsidR="00D32FBC" w:rsidRDefault="00D32FBC" w:rsidP="00E66F90"/>
    <w:p w14:paraId="732FB4F5" w14:textId="7920CD60"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41A41337" w14:textId="0B43E8AF" w:rsidR="00E66F90" w:rsidRDefault="00E66F90" w:rsidP="00E66F90"/>
    <w:p w14:paraId="47422CE0" w14:textId="50C07A00" w:rsidR="006766D5" w:rsidRDefault="006766D5" w:rsidP="00E66F90"/>
    <w:p w14:paraId="619B221B" w14:textId="0EA1497D" w:rsidR="006766D5" w:rsidRPr="00E66F90" w:rsidRDefault="00E71A51" w:rsidP="006766D5">
      <w:pPr>
        <w:shd w:val="clear" w:color="auto" w:fill="FFFFFF"/>
        <w:spacing w:before="100" w:beforeAutospacing="1" w:after="100" w:afterAutospacing="1" w:line="240" w:lineRule="auto"/>
        <w:rPr>
          <w:rFonts w:ascii="Trebuchet MS" w:eastAsia="Times New Roman" w:hAnsi="Trebuchet MS" w:cs="Times New Roman"/>
          <w:sz w:val="32"/>
          <w:szCs w:val="32"/>
        </w:rPr>
      </w:pPr>
      <w:r w:rsidRPr="00E71A51">
        <w:rPr>
          <w:rFonts w:ascii="Trebuchet MS" w:eastAsia="Times New Roman" w:hAnsi="Trebuchet MS" w:cs="Times New Roman"/>
          <w:sz w:val="32"/>
          <w:szCs w:val="32"/>
          <w:highlight w:val="green"/>
        </w:rPr>
        <w:t>P</w:t>
      </w:r>
      <w:r w:rsidR="006C175E">
        <w:rPr>
          <w:rFonts w:ascii="Trebuchet MS" w:eastAsia="Times New Roman" w:hAnsi="Trebuchet MS" w:cs="Times New Roman"/>
          <w:sz w:val="32"/>
          <w:szCs w:val="32"/>
          <w:highlight w:val="green"/>
        </w:rPr>
        <w:t>6</w:t>
      </w:r>
      <w:r w:rsidRPr="00E71A51">
        <w:rPr>
          <w:rFonts w:ascii="Trebuchet MS" w:eastAsia="Times New Roman" w:hAnsi="Trebuchet MS" w:cs="Times New Roman"/>
          <w:sz w:val="32"/>
          <w:szCs w:val="32"/>
          <w:highlight w:val="green"/>
        </w:rPr>
        <w:t>–5</w:t>
      </w:r>
    </w:p>
    <w:p w14:paraId="0E8E9F3B"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Nominal interest rates and yield curves A recent study of inflationary expectations</w:t>
      </w:r>
    </w:p>
    <w:p w14:paraId="7B714C45"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has revealed that the consensus among economic forecasters yields the following</w:t>
      </w:r>
      <w:r>
        <w:rPr>
          <w:rFonts w:ascii="SabonLTStd-Bold" w:hAnsi="SabonLTStd-Bold" w:cs="SabonLTStd-Bold"/>
          <w:bCs/>
          <w:sz w:val="24"/>
          <w:szCs w:val="24"/>
        </w:rPr>
        <w:t xml:space="preserve"> </w:t>
      </w:r>
      <w:r w:rsidRPr="006C175E">
        <w:rPr>
          <w:rFonts w:ascii="SabonLTStd-Bold" w:hAnsi="SabonLTStd-Bold" w:cs="SabonLTStd-Bold"/>
          <w:bCs/>
          <w:sz w:val="24"/>
          <w:szCs w:val="24"/>
        </w:rPr>
        <w:t>average annual rates of inflation expected over the periods noted.</w:t>
      </w:r>
    </w:p>
    <w:p w14:paraId="4487ED33"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(Note: Assume that the risk that future interest rate movements will affect</w:t>
      </w:r>
    </w:p>
    <w:p w14:paraId="754A4348" w14:textId="19A57A98" w:rsidR="00DB47A3" w:rsidRDefault="006C175E" w:rsidP="00DB47A3">
      <w:pPr>
        <w:autoSpaceDE w:val="0"/>
        <w:autoSpaceDN w:val="0"/>
        <w:adjustRightInd w:val="0"/>
        <w:spacing w:after="0" w:line="240" w:lineRule="auto"/>
        <w:rPr>
          <w:rFonts w:ascii="SabonLTStd-Roman" w:hAnsi="SabonLTStd-Roman" w:cs="SabonLTStd-Roman"/>
          <w:sz w:val="24"/>
          <w:szCs w:val="24"/>
        </w:rPr>
      </w:pPr>
      <w:r w:rsidRPr="006C175E">
        <w:rPr>
          <w:rFonts w:ascii="SabonLTStd-Bold" w:hAnsi="SabonLTStd-Bold" w:cs="SabonLTStd-Bold"/>
          <w:bCs/>
          <w:sz w:val="24"/>
          <w:szCs w:val="24"/>
        </w:rPr>
        <w:t xml:space="preserve">longer maturities more than shorter maturities </w:t>
      </w:r>
      <w:proofErr w:type="gramStart"/>
      <w:r w:rsidRPr="006C175E">
        <w:rPr>
          <w:rFonts w:ascii="SabonLTStd-Bold" w:hAnsi="SabonLTStd-Bold" w:cs="SabonLTStd-Bold"/>
          <w:bCs/>
          <w:sz w:val="24"/>
          <w:szCs w:val="24"/>
        </w:rPr>
        <w:t>is</w:t>
      </w:r>
      <w:proofErr w:type="gramEnd"/>
      <w:r w:rsidRPr="006C175E">
        <w:rPr>
          <w:rFonts w:ascii="SabonLTStd-Bold" w:hAnsi="SabonLTStd-Bold" w:cs="SabonLTStd-Bold"/>
          <w:bCs/>
          <w:sz w:val="24"/>
          <w:szCs w:val="24"/>
        </w:rPr>
        <w:t xml:space="preserve"> zero; that is, assume that there</w:t>
      </w:r>
      <w:r>
        <w:rPr>
          <w:rFonts w:ascii="SabonLTStd-Bold" w:hAnsi="SabonLTStd-Bold" w:cs="SabonLTStd-Bold"/>
          <w:bCs/>
          <w:sz w:val="24"/>
          <w:szCs w:val="24"/>
        </w:rPr>
        <w:t xml:space="preserve"> </w:t>
      </w:r>
      <w:r w:rsidRPr="006C175E">
        <w:rPr>
          <w:rFonts w:ascii="SabonLTStd-Bold" w:hAnsi="SabonLTStd-Bold" w:cs="SabonLTStd-Bold"/>
          <w:bCs/>
          <w:sz w:val="24"/>
          <w:szCs w:val="24"/>
        </w:rPr>
        <w:t>is no maturity</w:t>
      </w:r>
      <w:r>
        <w:rPr>
          <w:rFonts w:ascii="SabonLTStd-Bold" w:hAnsi="SabonLTStd-Bold" w:cs="SabonLTStd-Bold"/>
          <w:bCs/>
          <w:sz w:val="24"/>
          <w:szCs w:val="24"/>
        </w:rPr>
        <w:t xml:space="preserve"> </w:t>
      </w:r>
      <w:r w:rsidRPr="006C175E">
        <w:rPr>
          <w:rFonts w:ascii="SabonLTStd-Bold" w:hAnsi="SabonLTStd-Bold" w:cs="SabonLTStd-Bold"/>
          <w:bCs/>
          <w:sz w:val="24"/>
          <w:szCs w:val="24"/>
        </w:rPr>
        <w:t>risk.)</w:t>
      </w:r>
      <w:r w:rsidRPr="00DB47A3">
        <w:rPr>
          <w:rFonts w:ascii="SabonLTStd-Roman" w:hAnsi="SabonLTStd-Roman" w:cs="SabonLTStd-Roman"/>
          <w:sz w:val="24"/>
          <w:szCs w:val="24"/>
        </w:rPr>
        <w:t xml:space="preserve"> </w:t>
      </w:r>
    </w:p>
    <w:p w14:paraId="7C5CD36F" w14:textId="641C9B54" w:rsidR="006C175E" w:rsidRDefault="006C175E" w:rsidP="00DB47A3">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7B727D53" wp14:editId="0988E743">
            <wp:extent cx="1952898" cy="1600423"/>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6-5.PNG"/>
                    <pic:cNvPicPr/>
                  </pic:nvPicPr>
                  <pic:blipFill>
                    <a:blip r:embed="rId5">
                      <a:extLst>
                        <a:ext uri="{28A0092B-C50C-407E-A947-70E740481C1C}">
                          <a14:useLocalDpi xmlns:a14="http://schemas.microsoft.com/office/drawing/2010/main" val="0"/>
                        </a:ext>
                      </a:extLst>
                    </a:blip>
                    <a:stretch>
                      <a:fillRect/>
                    </a:stretch>
                  </pic:blipFill>
                  <pic:spPr>
                    <a:xfrm>
                      <a:off x="0" y="0"/>
                      <a:ext cx="1952898" cy="1600423"/>
                    </a:xfrm>
                    <a:prstGeom prst="rect">
                      <a:avLst/>
                    </a:prstGeom>
                  </pic:spPr>
                </pic:pic>
              </a:graphicData>
            </a:graphic>
          </wp:inline>
        </w:drawing>
      </w:r>
    </w:p>
    <w:p w14:paraId="7CE742BA"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a</w:t>
      </w:r>
      <w:r w:rsidRPr="006C175E">
        <w:rPr>
          <w:rFonts w:ascii="SabonLTStd-Bold" w:hAnsi="SabonLTStd-Bold" w:cs="SabonLTStd-Bold"/>
          <w:bCs/>
          <w:sz w:val="24"/>
          <w:szCs w:val="24"/>
        </w:rPr>
        <w:t>. If the real rate of interest is currently 2.5%, find the nominal rate of interest on</w:t>
      </w:r>
    </w:p>
    <w:p w14:paraId="4EF7E0E4"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each of the following U.S. Treasury issues: 20-year bond, 3-month bill, 2-year</w:t>
      </w:r>
    </w:p>
    <w:p w14:paraId="167B6678" w14:textId="429AD548"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note, and 5-year bond.</w:t>
      </w:r>
    </w:p>
    <w:p w14:paraId="48F4F137"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1716C2B1"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b.</w:t>
      </w:r>
      <w:r w:rsidRPr="006C175E">
        <w:rPr>
          <w:rFonts w:ascii="SabonLTStd-Bold" w:hAnsi="SabonLTStd-Bold" w:cs="SabonLTStd-Bold"/>
          <w:bCs/>
          <w:sz w:val="24"/>
          <w:szCs w:val="24"/>
        </w:rPr>
        <w:t xml:space="preserve"> If the real rate of interest suddenly dropped to 2% without any change in</w:t>
      </w:r>
    </w:p>
    <w:p w14:paraId="5F37C383"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inflationary expectations, what effect, if any, would it have on your answers in</w:t>
      </w:r>
    </w:p>
    <w:p w14:paraId="79544FCE" w14:textId="77D69E73"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part a? Explain.</w:t>
      </w:r>
    </w:p>
    <w:p w14:paraId="7F8988F3"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32867C29"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c.</w:t>
      </w:r>
      <w:r w:rsidRPr="006C175E">
        <w:rPr>
          <w:rFonts w:ascii="SabonLTStd-Bold" w:hAnsi="SabonLTStd-Bold" w:cs="SabonLTStd-Bold"/>
          <w:bCs/>
          <w:sz w:val="24"/>
          <w:szCs w:val="24"/>
        </w:rPr>
        <w:t xml:space="preserve"> Using your findings in part a, draw a yield curve for U.S. Treasury securities.</w:t>
      </w:r>
    </w:p>
    <w:p w14:paraId="6C560124"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Describe the general shape and expectations reflected by the curve.</w:t>
      </w:r>
    </w:p>
    <w:p w14:paraId="3A76B086"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lastRenderedPageBreak/>
        <w:t>d.</w:t>
      </w:r>
      <w:r w:rsidRPr="006C175E">
        <w:rPr>
          <w:rFonts w:ascii="SabonLTStd-Bold" w:hAnsi="SabonLTStd-Bold" w:cs="SabonLTStd-Bold"/>
          <w:bCs/>
          <w:sz w:val="24"/>
          <w:szCs w:val="24"/>
        </w:rPr>
        <w:t xml:space="preserve"> What would a follower of the liquidity preference theory say about how the</w:t>
      </w:r>
    </w:p>
    <w:p w14:paraId="765ED4A0"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preferences of lenders and borrowers tend to affect the shape of the yield</w:t>
      </w:r>
    </w:p>
    <w:p w14:paraId="2F0FF710"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curve drawn in part c? Illustrate that effect by placing on your graph a</w:t>
      </w:r>
    </w:p>
    <w:p w14:paraId="1285DAE3"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dotted line that approximates the yield curve without the effect of liquidity</w:t>
      </w:r>
    </w:p>
    <w:p w14:paraId="342AE12D" w14:textId="5A57D720"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preference.</w:t>
      </w:r>
    </w:p>
    <w:p w14:paraId="76E4C269"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6C0D435A"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e.</w:t>
      </w:r>
      <w:r w:rsidRPr="006C175E">
        <w:rPr>
          <w:rFonts w:ascii="SabonLTStd-Bold" w:hAnsi="SabonLTStd-Bold" w:cs="SabonLTStd-Bold"/>
          <w:bCs/>
          <w:sz w:val="24"/>
          <w:szCs w:val="24"/>
        </w:rPr>
        <w:t xml:space="preserve"> What would a follower of the market segmentation theory say about the supply</w:t>
      </w:r>
    </w:p>
    <w:p w14:paraId="53DDC2E3"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and demand for long-term loans versus the supply and demand for short-term</w:t>
      </w:r>
    </w:p>
    <w:p w14:paraId="387FC2E1" w14:textId="4103238A"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loans given the yield curve constructed for part c of this problem?</w:t>
      </w:r>
    </w:p>
    <w:p w14:paraId="30774677" w14:textId="6AD71B32" w:rsidR="006C175E" w:rsidRDefault="006C175E" w:rsidP="006C175E">
      <w:pPr>
        <w:autoSpaceDE w:val="0"/>
        <w:autoSpaceDN w:val="0"/>
        <w:adjustRightInd w:val="0"/>
        <w:spacing w:after="0" w:line="240" w:lineRule="auto"/>
        <w:rPr>
          <w:rFonts w:ascii="SabonLTStd-Bold" w:hAnsi="SabonLTStd-Bold" w:cs="SabonLTStd-Bold"/>
          <w:bCs/>
          <w:sz w:val="24"/>
          <w:szCs w:val="24"/>
        </w:rPr>
      </w:pPr>
    </w:p>
    <w:p w14:paraId="593B3071" w14:textId="4EBE52D0" w:rsidR="006C175E" w:rsidRPr="006C175E" w:rsidRDefault="006C175E" w:rsidP="006C175E">
      <w:pPr>
        <w:autoSpaceDE w:val="0"/>
        <w:autoSpaceDN w:val="0"/>
        <w:adjustRightInd w:val="0"/>
        <w:spacing w:after="0" w:line="240" w:lineRule="auto"/>
        <w:rPr>
          <w:rFonts w:ascii="SabonLTStd-Bold" w:hAnsi="SabonLTStd-Bold" w:cs="SabonLTStd-Bold"/>
          <w:bCs/>
          <w:sz w:val="32"/>
          <w:szCs w:val="24"/>
        </w:rPr>
      </w:pPr>
    </w:p>
    <w:p w14:paraId="4CDF5D63" w14:textId="77777777" w:rsidR="006C175E" w:rsidRPr="006C175E" w:rsidRDefault="006C175E" w:rsidP="006C175E">
      <w:pPr>
        <w:autoSpaceDE w:val="0"/>
        <w:autoSpaceDN w:val="0"/>
        <w:adjustRightInd w:val="0"/>
        <w:spacing w:after="0" w:line="240" w:lineRule="auto"/>
        <w:rPr>
          <w:rFonts w:ascii="SabonLTStd-Bold" w:hAnsi="SabonLTStd-Bold" w:cs="SabonLTStd-Bold"/>
          <w:b/>
          <w:bCs/>
          <w:sz w:val="32"/>
          <w:szCs w:val="24"/>
        </w:rPr>
      </w:pPr>
      <w:r w:rsidRPr="006C175E">
        <w:rPr>
          <w:rFonts w:ascii="SabonLTStd-Bold" w:hAnsi="SabonLTStd-Bold" w:cs="SabonLTStd-Bold"/>
          <w:b/>
          <w:bCs/>
          <w:sz w:val="32"/>
          <w:szCs w:val="24"/>
          <w:highlight w:val="green"/>
        </w:rPr>
        <w:t>P6–11</w:t>
      </w:r>
      <w:r w:rsidRPr="006C175E">
        <w:rPr>
          <w:rFonts w:ascii="SabonLTStd-Bold" w:hAnsi="SabonLTStd-Bold" w:cs="SabonLTStd-Bold"/>
          <w:b/>
          <w:bCs/>
          <w:sz w:val="32"/>
          <w:szCs w:val="24"/>
        </w:rPr>
        <w:t xml:space="preserve"> </w:t>
      </w:r>
    </w:p>
    <w:p w14:paraId="5B0F206E"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Bond prices and yields Assume that the Financial Management Corporation’s</w:t>
      </w:r>
    </w:p>
    <w:p w14:paraId="6E5BF473"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$1,000-par-value bond had a 5.700% coupon, matures on May 15, 2023, has a</w:t>
      </w:r>
    </w:p>
    <w:p w14:paraId="58BDCD79"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 xml:space="preserve">current price quote of </w:t>
      </w:r>
      <w:proofErr w:type="gramStart"/>
      <w:r w:rsidRPr="006C175E">
        <w:rPr>
          <w:rFonts w:ascii="SabonLTStd-Bold" w:hAnsi="SabonLTStd-Bold" w:cs="SabonLTStd-Bold"/>
          <w:bCs/>
          <w:sz w:val="24"/>
          <w:szCs w:val="24"/>
        </w:rPr>
        <w:t>97.708, and</w:t>
      </w:r>
      <w:proofErr w:type="gramEnd"/>
      <w:r w:rsidRPr="006C175E">
        <w:rPr>
          <w:rFonts w:ascii="SabonLTStd-Bold" w:hAnsi="SabonLTStd-Bold" w:cs="SabonLTStd-Bold"/>
          <w:bCs/>
          <w:sz w:val="24"/>
          <w:szCs w:val="24"/>
        </w:rPr>
        <w:t xml:space="preserve"> has a yield to maturity (YTM) of 6.034%. Given</w:t>
      </w:r>
    </w:p>
    <w:p w14:paraId="048071CE" w14:textId="7E0229FC"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this information, answer the following questions:</w:t>
      </w:r>
    </w:p>
    <w:p w14:paraId="3411B138"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4E9A8CF4"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a.</w:t>
      </w:r>
      <w:r w:rsidRPr="006C175E">
        <w:rPr>
          <w:rFonts w:ascii="SabonLTStd-Bold" w:hAnsi="SabonLTStd-Bold" w:cs="SabonLTStd-Bold"/>
          <w:bCs/>
          <w:sz w:val="24"/>
          <w:szCs w:val="24"/>
        </w:rPr>
        <w:t xml:space="preserve"> What was the dollar price of the bond?</w:t>
      </w:r>
    </w:p>
    <w:p w14:paraId="1A1E516C"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b.</w:t>
      </w:r>
      <w:r w:rsidRPr="006C175E">
        <w:rPr>
          <w:rFonts w:ascii="SabonLTStd-Bold" w:hAnsi="SabonLTStd-Bold" w:cs="SabonLTStd-Bold"/>
          <w:bCs/>
          <w:sz w:val="24"/>
          <w:szCs w:val="24"/>
        </w:rPr>
        <w:t xml:space="preserve"> What is the bond’s current yield?</w:t>
      </w:r>
    </w:p>
    <w:p w14:paraId="18265B7A"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c.</w:t>
      </w:r>
      <w:r w:rsidRPr="006C175E">
        <w:rPr>
          <w:rFonts w:ascii="SabonLTStd-Bold" w:hAnsi="SabonLTStd-Bold" w:cs="SabonLTStd-Bold"/>
          <w:bCs/>
          <w:sz w:val="24"/>
          <w:szCs w:val="24"/>
        </w:rPr>
        <w:t xml:space="preserve"> Is the bond selling at par, at a discount, or at a premium? Why?</w:t>
      </w:r>
    </w:p>
    <w:p w14:paraId="1290167D"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d.</w:t>
      </w:r>
      <w:r w:rsidRPr="006C175E">
        <w:rPr>
          <w:rFonts w:ascii="SabonLTStd-Bold" w:hAnsi="SabonLTStd-Bold" w:cs="SabonLTStd-Bold"/>
          <w:bCs/>
          <w:sz w:val="24"/>
          <w:szCs w:val="24"/>
        </w:rPr>
        <w:t xml:space="preserve"> Compare the bond’s current yield calculated in part b to its YTM and explain</w:t>
      </w:r>
    </w:p>
    <w:p w14:paraId="767BE7C0" w14:textId="25C870CF"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why they differ.</w:t>
      </w:r>
    </w:p>
    <w:p w14:paraId="159C8946" w14:textId="314AEE44" w:rsidR="006C175E" w:rsidRDefault="006C175E" w:rsidP="006C175E">
      <w:pPr>
        <w:autoSpaceDE w:val="0"/>
        <w:autoSpaceDN w:val="0"/>
        <w:adjustRightInd w:val="0"/>
        <w:spacing w:after="0" w:line="240" w:lineRule="auto"/>
        <w:rPr>
          <w:rFonts w:ascii="SabonLTStd-Bold" w:hAnsi="SabonLTStd-Bold" w:cs="SabonLTStd-Bold"/>
          <w:bCs/>
          <w:sz w:val="24"/>
          <w:szCs w:val="24"/>
        </w:rPr>
      </w:pPr>
    </w:p>
    <w:p w14:paraId="22A36425" w14:textId="7145B72E" w:rsidR="006C175E" w:rsidRDefault="006C175E" w:rsidP="006C175E">
      <w:pPr>
        <w:autoSpaceDE w:val="0"/>
        <w:autoSpaceDN w:val="0"/>
        <w:adjustRightInd w:val="0"/>
        <w:spacing w:after="0" w:line="240" w:lineRule="auto"/>
        <w:rPr>
          <w:rFonts w:ascii="SabonLTStd-Bold" w:hAnsi="SabonLTStd-Bold" w:cs="SabonLTStd-Bold"/>
          <w:bCs/>
          <w:sz w:val="24"/>
          <w:szCs w:val="24"/>
        </w:rPr>
      </w:pPr>
    </w:p>
    <w:p w14:paraId="69F77713" w14:textId="77777777" w:rsidR="006C175E" w:rsidRPr="006C175E" w:rsidRDefault="006C175E" w:rsidP="006C175E">
      <w:pPr>
        <w:autoSpaceDE w:val="0"/>
        <w:autoSpaceDN w:val="0"/>
        <w:adjustRightInd w:val="0"/>
        <w:spacing w:after="0" w:line="240" w:lineRule="auto"/>
        <w:rPr>
          <w:rFonts w:ascii="SabonLTStd-Bold" w:hAnsi="SabonLTStd-Bold" w:cs="SabonLTStd-Bold"/>
          <w:b/>
          <w:bCs/>
          <w:sz w:val="32"/>
          <w:szCs w:val="32"/>
        </w:rPr>
      </w:pPr>
      <w:r w:rsidRPr="006C175E">
        <w:rPr>
          <w:rFonts w:ascii="SabonLTStd-Bold" w:hAnsi="SabonLTStd-Bold" w:cs="SabonLTStd-Bold"/>
          <w:b/>
          <w:bCs/>
          <w:sz w:val="32"/>
          <w:szCs w:val="32"/>
          <w:highlight w:val="green"/>
        </w:rPr>
        <w:t>P6–17</w:t>
      </w:r>
      <w:r w:rsidRPr="006C175E">
        <w:rPr>
          <w:rFonts w:ascii="SabonLTStd-Bold" w:hAnsi="SabonLTStd-Bold" w:cs="SabonLTStd-Bold"/>
          <w:b/>
          <w:bCs/>
          <w:sz w:val="32"/>
          <w:szCs w:val="32"/>
        </w:rPr>
        <w:t xml:space="preserve"> </w:t>
      </w:r>
    </w:p>
    <w:p w14:paraId="287BEA39" w14:textId="5476BB2C"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Bond value and changing required returns Midland Utilities has outstanding a bond</w:t>
      </w:r>
    </w:p>
    <w:p w14:paraId="34D55F6E"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issue that will mature to its $1,000 par value in 12 years. The bond has a coupon</w:t>
      </w:r>
    </w:p>
    <w:p w14:paraId="78BAC6D0" w14:textId="6888A859"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interest rate of 11% and pays interest annually.</w:t>
      </w:r>
    </w:p>
    <w:p w14:paraId="5DAF46A1"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306A212F"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a.</w:t>
      </w:r>
      <w:r w:rsidRPr="006C175E">
        <w:rPr>
          <w:rFonts w:ascii="SabonLTStd-Bold" w:hAnsi="SabonLTStd-Bold" w:cs="SabonLTStd-Bold"/>
          <w:bCs/>
          <w:sz w:val="24"/>
          <w:szCs w:val="24"/>
        </w:rPr>
        <w:t xml:space="preserve"> Find the value of the bond if the required return is (1) 11%, (2) 15%, and</w:t>
      </w:r>
    </w:p>
    <w:p w14:paraId="7287D938" w14:textId="283588B3"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(3) 8%.</w:t>
      </w:r>
    </w:p>
    <w:p w14:paraId="28C9F852"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60A52EAE"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b.</w:t>
      </w:r>
      <w:r w:rsidRPr="006C175E">
        <w:rPr>
          <w:rFonts w:ascii="SabonLTStd-Bold" w:hAnsi="SabonLTStd-Bold" w:cs="SabonLTStd-Bold"/>
          <w:bCs/>
          <w:sz w:val="24"/>
          <w:szCs w:val="24"/>
        </w:rPr>
        <w:t xml:space="preserve"> Plot your findings in part a on a set of “required return (x axis)–market value of</w:t>
      </w:r>
    </w:p>
    <w:p w14:paraId="3BFCB46F" w14:textId="67482B97"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bond (y axis)” axes.</w:t>
      </w:r>
    </w:p>
    <w:p w14:paraId="56BD3CD6"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68A2DD64"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c</w:t>
      </w:r>
      <w:r w:rsidRPr="006C175E">
        <w:rPr>
          <w:rFonts w:ascii="SabonLTStd-Bold" w:hAnsi="SabonLTStd-Bold" w:cs="SabonLTStd-Bold"/>
          <w:bCs/>
          <w:sz w:val="24"/>
          <w:szCs w:val="24"/>
        </w:rPr>
        <w:t>. Use your findings in parts a and b to discuss the relationship between the coupon</w:t>
      </w:r>
    </w:p>
    <w:p w14:paraId="4B1421B7"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interest rate on a bond and the required return and the market value of the bond</w:t>
      </w:r>
    </w:p>
    <w:p w14:paraId="5E5E41E5" w14:textId="34D3B6AF"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relative to its par value.</w:t>
      </w:r>
    </w:p>
    <w:p w14:paraId="3914225A"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6112D4EB"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d.</w:t>
      </w:r>
      <w:r w:rsidRPr="006C175E">
        <w:rPr>
          <w:rFonts w:ascii="SabonLTStd-Bold" w:hAnsi="SabonLTStd-Bold" w:cs="SabonLTStd-Bold"/>
          <w:bCs/>
          <w:sz w:val="24"/>
          <w:szCs w:val="24"/>
        </w:rPr>
        <w:t xml:space="preserve"> What two possible reasons could cause the required return to differ from the</w:t>
      </w:r>
    </w:p>
    <w:p w14:paraId="1A915474" w14:textId="038C0B6F"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coupon interest rate?</w:t>
      </w:r>
    </w:p>
    <w:p w14:paraId="2E9F449E" w14:textId="2F182A15" w:rsidR="006C175E" w:rsidRDefault="006C175E" w:rsidP="006C175E">
      <w:pPr>
        <w:autoSpaceDE w:val="0"/>
        <w:autoSpaceDN w:val="0"/>
        <w:adjustRightInd w:val="0"/>
        <w:spacing w:after="0" w:line="240" w:lineRule="auto"/>
        <w:rPr>
          <w:rFonts w:ascii="SabonLTStd-Bold" w:hAnsi="SabonLTStd-Bold" w:cs="SabonLTStd-Bold"/>
          <w:bCs/>
          <w:sz w:val="24"/>
          <w:szCs w:val="24"/>
        </w:rPr>
      </w:pPr>
    </w:p>
    <w:p w14:paraId="4D132272" w14:textId="721D5FCE" w:rsidR="006C175E" w:rsidRDefault="006C175E" w:rsidP="006C175E">
      <w:pPr>
        <w:autoSpaceDE w:val="0"/>
        <w:autoSpaceDN w:val="0"/>
        <w:adjustRightInd w:val="0"/>
        <w:spacing w:after="0" w:line="240" w:lineRule="auto"/>
        <w:rPr>
          <w:rFonts w:ascii="SabonLTStd-Bold" w:hAnsi="SabonLTStd-Bold" w:cs="SabonLTStd-Bold"/>
          <w:bCs/>
          <w:sz w:val="24"/>
          <w:szCs w:val="24"/>
        </w:rPr>
      </w:pPr>
    </w:p>
    <w:p w14:paraId="0F791C6E" w14:textId="77777777" w:rsidR="006C175E" w:rsidRPr="006C175E" w:rsidRDefault="006C175E" w:rsidP="006C175E">
      <w:pPr>
        <w:autoSpaceDE w:val="0"/>
        <w:autoSpaceDN w:val="0"/>
        <w:adjustRightInd w:val="0"/>
        <w:spacing w:after="0" w:line="240" w:lineRule="auto"/>
        <w:rPr>
          <w:rFonts w:ascii="SabonLTStd-Bold" w:hAnsi="SabonLTStd-Bold" w:cs="SabonLTStd-Bold"/>
          <w:b/>
          <w:bCs/>
          <w:sz w:val="32"/>
          <w:szCs w:val="24"/>
        </w:rPr>
      </w:pPr>
      <w:r w:rsidRPr="006C175E">
        <w:rPr>
          <w:rFonts w:ascii="SabonLTStd-Bold" w:hAnsi="SabonLTStd-Bold" w:cs="SabonLTStd-Bold"/>
          <w:b/>
          <w:bCs/>
          <w:sz w:val="32"/>
          <w:szCs w:val="24"/>
          <w:highlight w:val="green"/>
        </w:rPr>
        <w:lastRenderedPageBreak/>
        <w:t>P6–18</w:t>
      </w:r>
      <w:r w:rsidRPr="006C175E">
        <w:rPr>
          <w:rFonts w:ascii="SabonLTStd-Bold" w:hAnsi="SabonLTStd-Bold" w:cs="SabonLTStd-Bold"/>
          <w:b/>
          <w:bCs/>
          <w:sz w:val="32"/>
          <w:szCs w:val="24"/>
        </w:rPr>
        <w:t xml:space="preserve"> </w:t>
      </w:r>
    </w:p>
    <w:p w14:paraId="5875E5E6" w14:textId="319A81FA"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Bond value and time: Constant required returns Pecos Manufacturing has just issued</w:t>
      </w:r>
    </w:p>
    <w:p w14:paraId="3E0195BA"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a 15-year, 12% coupon interest rate, $1,000-par bond that pays interest annually.</w:t>
      </w:r>
    </w:p>
    <w:p w14:paraId="5DD9CCFF"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The required return is currently 14%, and the company is certain it will remain</w:t>
      </w:r>
    </w:p>
    <w:p w14:paraId="079A36F8" w14:textId="34445BD0"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at 14% until the bond matures in 15 years.</w:t>
      </w:r>
    </w:p>
    <w:p w14:paraId="3D8308B7"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423B83E3"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a.</w:t>
      </w:r>
      <w:r w:rsidRPr="006C175E">
        <w:rPr>
          <w:rFonts w:ascii="SabonLTStd-Bold" w:hAnsi="SabonLTStd-Bold" w:cs="SabonLTStd-Bold"/>
          <w:bCs/>
          <w:sz w:val="24"/>
          <w:szCs w:val="24"/>
        </w:rPr>
        <w:t xml:space="preserve"> </w:t>
      </w:r>
      <w:proofErr w:type="gramStart"/>
      <w:r w:rsidRPr="006C175E">
        <w:rPr>
          <w:rFonts w:ascii="SabonLTStd-Bold" w:hAnsi="SabonLTStd-Bold" w:cs="SabonLTStd-Bold"/>
          <w:bCs/>
          <w:sz w:val="24"/>
          <w:szCs w:val="24"/>
        </w:rPr>
        <w:t>Assuming that</w:t>
      </w:r>
      <w:proofErr w:type="gramEnd"/>
      <w:r w:rsidRPr="006C175E">
        <w:rPr>
          <w:rFonts w:ascii="SabonLTStd-Bold" w:hAnsi="SabonLTStd-Bold" w:cs="SabonLTStd-Bold"/>
          <w:bCs/>
          <w:sz w:val="24"/>
          <w:szCs w:val="24"/>
        </w:rPr>
        <w:t xml:space="preserve"> the required return does remain at 14% until maturity, find the</w:t>
      </w:r>
    </w:p>
    <w:p w14:paraId="003F735C"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value of the bond with (1) 15 years, (2) 12 years, (3) 9 years, (4) 6 years, (5) 3</w:t>
      </w:r>
    </w:p>
    <w:p w14:paraId="1D39465F" w14:textId="66F21943"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years, and (6) 1 year to maturity.</w:t>
      </w:r>
    </w:p>
    <w:p w14:paraId="70C015CC"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394D7BF6"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b.</w:t>
      </w:r>
      <w:r w:rsidRPr="006C175E">
        <w:rPr>
          <w:rFonts w:ascii="SabonLTStd-Bold" w:hAnsi="SabonLTStd-Bold" w:cs="SabonLTStd-Bold"/>
          <w:bCs/>
          <w:sz w:val="24"/>
          <w:szCs w:val="24"/>
        </w:rPr>
        <w:t xml:space="preserve"> Plot your findings on a set of “time to maturity (x axis)–market value of bond</w:t>
      </w:r>
    </w:p>
    <w:p w14:paraId="6C995F3C" w14:textId="141139FC"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(y axis)” axes constructed similarly to Figure 6.5 on page 252.</w:t>
      </w:r>
    </w:p>
    <w:p w14:paraId="73EA2A39"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52E77CF4"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c.</w:t>
      </w:r>
      <w:r w:rsidRPr="006C175E">
        <w:rPr>
          <w:rFonts w:ascii="SabonLTStd-Bold" w:hAnsi="SabonLTStd-Bold" w:cs="SabonLTStd-Bold"/>
          <w:bCs/>
          <w:sz w:val="24"/>
          <w:szCs w:val="24"/>
        </w:rPr>
        <w:t xml:space="preserve"> All else remaining the same, when the required return differs from the coupon</w:t>
      </w:r>
    </w:p>
    <w:p w14:paraId="15B175BC"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interest rate and is assumed to be constant to maturity, what happens to the</w:t>
      </w:r>
    </w:p>
    <w:p w14:paraId="53FE5FA6"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 xml:space="preserve">bond value as time moves toward maturity? Explain </w:t>
      </w:r>
      <w:proofErr w:type="gramStart"/>
      <w:r w:rsidRPr="006C175E">
        <w:rPr>
          <w:rFonts w:ascii="SabonLTStd-Bold" w:hAnsi="SabonLTStd-Bold" w:cs="SabonLTStd-Bold"/>
          <w:bCs/>
          <w:sz w:val="24"/>
          <w:szCs w:val="24"/>
        </w:rPr>
        <w:t>in light of</w:t>
      </w:r>
      <w:proofErr w:type="gramEnd"/>
      <w:r w:rsidRPr="006C175E">
        <w:rPr>
          <w:rFonts w:ascii="SabonLTStd-Bold" w:hAnsi="SabonLTStd-Bold" w:cs="SabonLTStd-Bold"/>
          <w:bCs/>
          <w:sz w:val="24"/>
          <w:szCs w:val="24"/>
        </w:rPr>
        <w:t xml:space="preserve"> the graph in</w:t>
      </w:r>
    </w:p>
    <w:p w14:paraId="6BF14D5B" w14:textId="7962B6F4"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part b.</w:t>
      </w:r>
    </w:p>
    <w:p w14:paraId="5B119E5B" w14:textId="4DF502AB" w:rsidR="006C175E" w:rsidRDefault="006C175E" w:rsidP="006C175E">
      <w:pPr>
        <w:autoSpaceDE w:val="0"/>
        <w:autoSpaceDN w:val="0"/>
        <w:adjustRightInd w:val="0"/>
        <w:spacing w:after="0" w:line="240" w:lineRule="auto"/>
        <w:rPr>
          <w:rFonts w:ascii="SabonLTStd-Bold" w:hAnsi="SabonLTStd-Bold" w:cs="SabonLTStd-Bold"/>
          <w:bCs/>
          <w:sz w:val="24"/>
          <w:szCs w:val="24"/>
        </w:rPr>
      </w:pPr>
    </w:p>
    <w:p w14:paraId="4B742C64" w14:textId="42D7E31A" w:rsidR="006C175E" w:rsidRDefault="006C175E" w:rsidP="006C175E">
      <w:pPr>
        <w:autoSpaceDE w:val="0"/>
        <w:autoSpaceDN w:val="0"/>
        <w:adjustRightInd w:val="0"/>
        <w:spacing w:after="0" w:line="240" w:lineRule="auto"/>
        <w:rPr>
          <w:rFonts w:ascii="SabonLTStd-Bold" w:hAnsi="SabonLTStd-Bold" w:cs="SabonLTStd-Bold"/>
          <w:bCs/>
          <w:sz w:val="24"/>
          <w:szCs w:val="24"/>
        </w:rPr>
      </w:pPr>
    </w:p>
    <w:p w14:paraId="695FAEEE" w14:textId="77777777" w:rsidR="006C175E" w:rsidRPr="006C175E" w:rsidRDefault="006C175E" w:rsidP="006C175E">
      <w:pPr>
        <w:autoSpaceDE w:val="0"/>
        <w:autoSpaceDN w:val="0"/>
        <w:adjustRightInd w:val="0"/>
        <w:spacing w:after="0" w:line="240" w:lineRule="auto"/>
        <w:rPr>
          <w:rFonts w:ascii="SabonLTStd-Bold" w:hAnsi="SabonLTStd-Bold" w:cs="SabonLTStd-Bold"/>
          <w:b/>
          <w:bCs/>
          <w:sz w:val="32"/>
          <w:szCs w:val="24"/>
        </w:rPr>
      </w:pPr>
      <w:r w:rsidRPr="006C175E">
        <w:rPr>
          <w:rFonts w:ascii="SabonLTStd-Bold" w:hAnsi="SabonLTStd-Bold" w:cs="SabonLTStd-Bold"/>
          <w:b/>
          <w:bCs/>
          <w:sz w:val="32"/>
          <w:szCs w:val="24"/>
          <w:highlight w:val="green"/>
        </w:rPr>
        <w:t>P6–22</w:t>
      </w:r>
      <w:r w:rsidRPr="006C175E">
        <w:rPr>
          <w:rFonts w:ascii="SabonLTStd-Bold" w:hAnsi="SabonLTStd-Bold" w:cs="SabonLTStd-Bold"/>
          <w:b/>
          <w:bCs/>
          <w:sz w:val="32"/>
          <w:szCs w:val="24"/>
        </w:rPr>
        <w:t xml:space="preserve"> </w:t>
      </w:r>
    </w:p>
    <w:p w14:paraId="6F303010" w14:textId="16C6DEDE"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Yield to maturity Each of the bonds shown in the following table pays interest annually.</w:t>
      </w:r>
    </w:p>
    <w:p w14:paraId="6660AE88" w14:textId="0B6624F6" w:rsidR="006C175E" w:rsidRDefault="006C175E" w:rsidP="006C175E">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7841EEA1" wp14:editId="222BF517">
            <wp:extent cx="4648849" cy="15432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6-22.PNG"/>
                    <pic:cNvPicPr/>
                  </pic:nvPicPr>
                  <pic:blipFill>
                    <a:blip r:embed="rId6">
                      <a:extLst>
                        <a:ext uri="{28A0092B-C50C-407E-A947-70E740481C1C}">
                          <a14:useLocalDpi xmlns:a14="http://schemas.microsoft.com/office/drawing/2010/main" val="0"/>
                        </a:ext>
                      </a:extLst>
                    </a:blip>
                    <a:stretch>
                      <a:fillRect/>
                    </a:stretch>
                  </pic:blipFill>
                  <pic:spPr>
                    <a:xfrm>
                      <a:off x="0" y="0"/>
                      <a:ext cx="4648849" cy="1543265"/>
                    </a:xfrm>
                    <a:prstGeom prst="rect">
                      <a:avLst/>
                    </a:prstGeom>
                  </pic:spPr>
                </pic:pic>
              </a:graphicData>
            </a:graphic>
          </wp:inline>
        </w:drawing>
      </w:r>
    </w:p>
    <w:p w14:paraId="3BBEC8E3" w14:textId="50D74CD8" w:rsid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a.</w:t>
      </w:r>
      <w:r w:rsidRPr="006C175E">
        <w:rPr>
          <w:rFonts w:ascii="SabonLTStd-Bold" w:hAnsi="SabonLTStd-Bold" w:cs="SabonLTStd-Bold"/>
          <w:bCs/>
          <w:sz w:val="24"/>
          <w:szCs w:val="24"/>
        </w:rPr>
        <w:t xml:space="preserve"> Calculate the yield to maturity (YTM) for each bond.</w:t>
      </w:r>
    </w:p>
    <w:p w14:paraId="6EABDC19"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p>
    <w:p w14:paraId="212D7AD8" w14:textId="77777777"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
          <w:bCs/>
          <w:sz w:val="24"/>
          <w:szCs w:val="24"/>
        </w:rPr>
        <w:t>b.</w:t>
      </w:r>
      <w:r w:rsidRPr="006C175E">
        <w:rPr>
          <w:rFonts w:ascii="SabonLTStd-Bold" w:hAnsi="SabonLTStd-Bold" w:cs="SabonLTStd-Bold"/>
          <w:bCs/>
          <w:sz w:val="24"/>
          <w:szCs w:val="24"/>
        </w:rPr>
        <w:t xml:space="preserve"> What relationship exists between the coupon interest rate and yield to maturity</w:t>
      </w:r>
    </w:p>
    <w:p w14:paraId="68A4AE48" w14:textId="68CE63CB" w:rsidR="006C175E" w:rsidRPr="006C175E" w:rsidRDefault="006C175E" w:rsidP="006C175E">
      <w:pPr>
        <w:autoSpaceDE w:val="0"/>
        <w:autoSpaceDN w:val="0"/>
        <w:adjustRightInd w:val="0"/>
        <w:spacing w:after="0" w:line="240" w:lineRule="auto"/>
        <w:rPr>
          <w:rFonts w:ascii="SabonLTStd-Bold" w:hAnsi="SabonLTStd-Bold" w:cs="SabonLTStd-Bold"/>
          <w:bCs/>
          <w:sz w:val="24"/>
          <w:szCs w:val="24"/>
        </w:rPr>
      </w:pPr>
      <w:r w:rsidRPr="006C175E">
        <w:rPr>
          <w:rFonts w:ascii="SabonLTStd-Bold" w:hAnsi="SabonLTStd-Bold" w:cs="SabonLTStd-Bold"/>
          <w:bCs/>
          <w:sz w:val="24"/>
          <w:szCs w:val="24"/>
        </w:rPr>
        <w:t>and the par value and market value of a bond? Explain.</w:t>
      </w:r>
      <w:bookmarkStart w:id="0" w:name="_GoBack"/>
      <w:bookmarkEnd w:id="0"/>
    </w:p>
    <w:sectPr w:rsidR="006C175E" w:rsidRPr="006C17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abonLTStd-Bold">
    <w:altName w:val="Calibri"/>
    <w:panose1 w:val="00000000000000000000"/>
    <w:charset w:val="00"/>
    <w:family w:val="auto"/>
    <w:notTrueType/>
    <w:pitch w:val="default"/>
    <w:sig w:usb0="00000003" w:usb1="00000000" w:usb2="00000000" w:usb3="00000000" w:csb0="00000001" w:csb1="00000000"/>
  </w:font>
  <w:font w:name="SabonLTStd-Roman">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8002D"/>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44059"/>
    <w:multiLevelType w:val="multilevel"/>
    <w:tmpl w:val="B7CE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B5314"/>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F0451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1A300C"/>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9C60C9"/>
    <w:multiLevelType w:val="multilevel"/>
    <w:tmpl w:val="8B1083C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466543"/>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036A7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F337E3"/>
    <w:multiLevelType w:val="hybridMultilevel"/>
    <w:tmpl w:val="803C0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6"/>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90"/>
    <w:rsid w:val="00014ADE"/>
    <w:rsid w:val="006766D5"/>
    <w:rsid w:val="006C175E"/>
    <w:rsid w:val="00A66992"/>
    <w:rsid w:val="00D32FBC"/>
    <w:rsid w:val="00DB47A3"/>
    <w:rsid w:val="00E66F90"/>
    <w:rsid w:val="00E71A51"/>
    <w:rsid w:val="00F6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33E3"/>
  <w15:chartTrackingRefBased/>
  <w15:docId w15:val="{15B53056-093A-411A-A7F9-569F143A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4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7954">
      <w:bodyDiv w:val="1"/>
      <w:marLeft w:val="0"/>
      <w:marRight w:val="0"/>
      <w:marTop w:val="0"/>
      <w:marBottom w:val="0"/>
      <w:divBdr>
        <w:top w:val="none" w:sz="0" w:space="0" w:color="auto"/>
        <w:left w:val="none" w:sz="0" w:space="0" w:color="auto"/>
        <w:bottom w:val="none" w:sz="0" w:space="0" w:color="auto"/>
        <w:right w:val="none" w:sz="0" w:space="0" w:color="auto"/>
      </w:divBdr>
    </w:div>
    <w:div w:id="505096010">
      <w:bodyDiv w:val="1"/>
      <w:marLeft w:val="0"/>
      <w:marRight w:val="0"/>
      <w:marTop w:val="0"/>
      <w:marBottom w:val="0"/>
      <w:divBdr>
        <w:top w:val="none" w:sz="0" w:space="0" w:color="auto"/>
        <w:left w:val="none" w:sz="0" w:space="0" w:color="auto"/>
        <w:bottom w:val="none" w:sz="0" w:space="0" w:color="auto"/>
        <w:right w:val="none" w:sz="0" w:space="0" w:color="auto"/>
      </w:divBdr>
    </w:div>
    <w:div w:id="140722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2</cp:revision>
  <dcterms:created xsi:type="dcterms:W3CDTF">2019-02-16T19:31:00Z</dcterms:created>
  <dcterms:modified xsi:type="dcterms:W3CDTF">2019-02-16T19:31:00Z</dcterms:modified>
</cp:coreProperties>
</file>